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2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2"/>
        <w:gridCol w:w="7453"/>
      </w:tblGrid>
      <w:tr w:rsidR="003401B5" w14:paraId="2A265201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</w:tcPr>
          <w:p w14:paraId="6310FD7F" w14:textId="59337A69" w:rsidR="003401B5" w:rsidRDefault="003401B5" w:rsidP="003731DD">
            <w:pPr>
              <w:pStyle w:val="TableHeader"/>
              <w:ind w:left="0" w:right="0"/>
              <w:jc w:val="left"/>
            </w:pPr>
            <w:r>
              <w:t xml:space="preserve">Intervention 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6A0C" w14:textId="2510FE6D" w:rsidR="003401B5" w:rsidRDefault="003401B5" w:rsidP="003731DD">
            <w:pPr>
              <w:pStyle w:val="TableHeader"/>
              <w:ind w:left="0" w:right="0"/>
              <w:jc w:val="left"/>
            </w:pPr>
            <w:r>
              <w:t>Intended outcome</w:t>
            </w:r>
            <w:r w:rsidR="007B3C67">
              <w:t>s</w:t>
            </w:r>
          </w:p>
        </w:tc>
      </w:tr>
      <w:tr w:rsidR="003401B5" w14:paraId="7FAAE815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F984" w14:textId="77777777" w:rsidR="003401B5" w:rsidRDefault="003401B5" w:rsidP="003731DD">
            <w:pPr>
              <w:pStyle w:val="TableRow"/>
              <w:ind w:left="0" w:right="0"/>
            </w:pPr>
            <w:r>
              <w:t>1:1 English, Reading, Science and Maths sessions</w:t>
            </w:r>
          </w:p>
          <w:p w14:paraId="48917BE1" w14:textId="3060B91F" w:rsidR="00161884" w:rsidRPr="00344A01" w:rsidRDefault="00161884" w:rsidP="003731DD">
            <w:pPr>
              <w:pStyle w:val="TableRow"/>
              <w:ind w:left="0" w:right="0"/>
            </w:pPr>
            <w:r>
              <w:t>(</w:t>
            </w:r>
            <w:proofErr w:type="gramStart"/>
            <w:r>
              <w:t>including</w:t>
            </w:r>
            <w:proofErr w:type="gramEnd"/>
            <w:r>
              <w:t xml:space="preserve"> Words First</w:t>
            </w:r>
            <w:r w:rsidR="000709AC">
              <w:t>, Rapid Read and Rapid Phonics</w:t>
            </w:r>
            <w:r>
              <w:t>)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0891" w14:textId="39EF7DC3" w:rsidR="003401B5" w:rsidRDefault="003401B5" w:rsidP="003731DD">
            <w:pPr>
              <w:pStyle w:val="TableRow"/>
              <w:ind w:left="0" w:right="0"/>
            </w:pPr>
            <w:r>
              <w:t xml:space="preserve">Identified </w:t>
            </w:r>
            <w:r w:rsidR="007B3C67">
              <w:t>students</w:t>
            </w:r>
            <w:r>
              <w:t xml:space="preserve"> are supported to close the gaps in their knowledge and skills to </w:t>
            </w:r>
            <w:r w:rsidR="00920775">
              <w:t>enable them to access the curriculum and improve their academic levels.</w:t>
            </w:r>
          </w:p>
          <w:p w14:paraId="52FE157F" w14:textId="341E58E3" w:rsidR="003401B5" w:rsidRDefault="003401B5" w:rsidP="003731DD">
            <w:pPr>
              <w:pStyle w:val="TableRow"/>
              <w:ind w:left="0" w:right="0"/>
            </w:pPr>
          </w:p>
          <w:p w14:paraId="1B24BAC5" w14:textId="4D5D923F" w:rsidR="003401B5" w:rsidRPr="00344A01" w:rsidRDefault="003401B5" w:rsidP="003731DD">
            <w:pPr>
              <w:pStyle w:val="TableRow"/>
              <w:ind w:left="0" w:right="0"/>
            </w:pPr>
            <w:r>
              <w:t xml:space="preserve">Identified Year 11 </w:t>
            </w:r>
            <w:r w:rsidR="007B3C67">
              <w:t>students</w:t>
            </w:r>
            <w:r>
              <w:t xml:space="preserve"> are given additional sessions to support their exam studies</w:t>
            </w:r>
            <w:r w:rsidR="00920775">
              <w:t xml:space="preserve"> and improve their academic </w:t>
            </w:r>
            <w:r w:rsidR="00D05006">
              <w:t>outcomes</w:t>
            </w:r>
            <w:r w:rsidR="00920775">
              <w:t>.</w:t>
            </w:r>
            <w:r>
              <w:t xml:space="preserve"> </w:t>
            </w:r>
          </w:p>
        </w:tc>
      </w:tr>
      <w:tr w:rsidR="003401B5" w14:paraId="08D824DD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E966" w14:textId="40A0476F" w:rsidR="003401B5" w:rsidRPr="00344A01" w:rsidRDefault="003401B5" w:rsidP="003731DD">
            <w:pPr>
              <w:pStyle w:val="TableRow"/>
              <w:ind w:left="0" w:right="0"/>
            </w:pPr>
            <w:r>
              <w:t>Outdoor Education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D4F7" w14:textId="38601731" w:rsidR="003401B5" w:rsidRDefault="00C66BDF" w:rsidP="003401B5">
            <w:pPr>
              <w:pStyle w:val="TableRow"/>
              <w:ind w:left="0" w:right="0"/>
            </w:pPr>
            <w:r>
              <w:t>All students access Outdoor Education sessions</w:t>
            </w:r>
            <w:r w:rsidR="008C4598">
              <w:t xml:space="preserve">. These </w:t>
            </w:r>
            <w:r>
              <w:t>sessions focus on meeting ind</w:t>
            </w:r>
            <w:r w:rsidR="008C4598">
              <w:t>ividual</w:t>
            </w:r>
            <w:r>
              <w:t xml:space="preserve"> and </w:t>
            </w:r>
            <w:r w:rsidR="008C4598">
              <w:t xml:space="preserve">whole </w:t>
            </w:r>
            <w:r>
              <w:t>group needs to build confidence, self-esteem,</w:t>
            </w:r>
            <w:r w:rsidR="0021464C">
              <w:t xml:space="preserve"> teamwork, communication</w:t>
            </w:r>
            <w:r w:rsidR="00D05006">
              <w:t>,</w:t>
            </w:r>
            <w:r w:rsidR="0021464C">
              <w:t xml:space="preserve"> </w:t>
            </w:r>
            <w:r w:rsidR="00D05006">
              <w:t>independence, varying</w:t>
            </w:r>
            <w:r>
              <w:t xml:space="preserve"> skills</w:t>
            </w:r>
            <w:r w:rsidR="008C4598">
              <w:t xml:space="preserve">, </w:t>
            </w:r>
            <w:r>
              <w:t>foster belonging and build engagement.</w:t>
            </w:r>
          </w:p>
          <w:p w14:paraId="5E7D6DA4" w14:textId="77777777" w:rsidR="008C4598" w:rsidRDefault="008C4598" w:rsidP="003401B5">
            <w:pPr>
              <w:pStyle w:val="TableRow"/>
              <w:ind w:left="0" w:right="0"/>
            </w:pPr>
          </w:p>
          <w:p w14:paraId="33A54A34" w14:textId="77A3AB01" w:rsidR="008C4598" w:rsidRDefault="008C4598" w:rsidP="003401B5">
            <w:pPr>
              <w:pStyle w:val="TableRow"/>
              <w:ind w:left="0" w:right="0"/>
            </w:pPr>
            <w:r>
              <w:t>1:1 and small group intervention sessions focus on meeting specific needs of the students t</w:t>
            </w:r>
            <w:r w:rsidR="00D05006">
              <w:t>hrough targeted activities to</w:t>
            </w:r>
            <w:r>
              <w:t xml:space="preserve"> support the development of a variety of skills including:</w:t>
            </w:r>
          </w:p>
          <w:p w14:paraId="529DB035" w14:textId="4E875E94" w:rsidR="008C4598" w:rsidRDefault="008C4598" w:rsidP="008C4598">
            <w:pPr>
              <w:pStyle w:val="TableRow"/>
              <w:numPr>
                <w:ilvl w:val="0"/>
                <w:numId w:val="12"/>
              </w:numPr>
              <w:ind w:right="0"/>
            </w:pPr>
            <w:r>
              <w:t>Social communication</w:t>
            </w:r>
          </w:p>
          <w:p w14:paraId="6B49778E" w14:textId="2C7B444D" w:rsidR="008C4598" w:rsidRDefault="008C4598" w:rsidP="008C4598">
            <w:pPr>
              <w:pStyle w:val="TableRow"/>
              <w:numPr>
                <w:ilvl w:val="0"/>
                <w:numId w:val="12"/>
              </w:numPr>
              <w:ind w:right="0"/>
            </w:pPr>
            <w:r>
              <w:t>Self-esteem/self-confidence</w:t>
            </w:r>
          </w:p>
          <w:p w14:paraId="462A5305" w14:textId="5CE44C75" w:rsidR="008C4598" w:rsidRDefault="008C4598" w:rsidP="008C4598">
            <w:pPr>
              <w:pStyle w:val="TableRow"/>
              <w:numPr>
                <w:ilvl w:val="0"/>
                <w:numId w:val="12"/>
              </w:numPr>
              <w:ind w:right="0"/>
            </w:pPr>
            <w:r>
              <w:t>Understanding healthy relationships/friendship</w:t>
            </w:r>
          </w:p>
          <w:p w14:paraId="3D561186" w14:textId="551ECC8E" w:rsidR="00D05006" w:rsidRDefault="00D05006" w:rsidP="008C4598">
            <w:pPr>
              <w:pStyle w:val="TableRow"/>
              <w:numPr>
                <w:ilvl w:val="0"/>
                <w:numId w:val="12"/>
              </w:numPr>
              <w:ind w:right="0"/>
            </w:pPr>
            <w:r>
              <w:t>Fine and gross motor skills</w:t>
            </w:r>
          </w:p>
          <w:p w14:paraId="5BF3CE78" w14:textId="68F80CB1" w:rsidR="008C4598" w:rsidRDefault="008C4598" w:rsidP="008C4598">
            <w:pPr>
              <w:pStyle w:val="TableRow"/>
              <w:numPr>
                <w:ilvl w:val="0"/>
                <w:numId w:val="12"/>
              </w:numPr>
              <w:ind w:right="0"/>
            </w:pPr>
            <w:r>
              <w:t>Specific skills e.g. First Aid</w:t>
            </w:r>
          </w:p>
          <w:p w14:paraId="596D65C6" w14:textId="1C884AAB" w:rsidR="008C4598" w:rsidRPr="00344A01" w:rsidRDefault="008C4598" w:rsidP="003401B5">
            <w:pPr>
              <w:pStyle w:val="TableRow"/>
              <w:ind w:left="0" w:right="0"/>
            </w:pPr>
          </w:p>
        </w:tc>
      </w:tr>
      <w:tr w:rsidR="003401B5" w14:paraId="6E9C346B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FEE0" w14:textId="0E50DF68" w:rsidR="003401B5" w:rsidRPr="00344A01" w:rsidRDefault="00920775" w:rsidP="003731DD">
            <w:pPr>
              <w:pStyle w:val="TableRow"/>
              <w:ind w:left="0" w:right="0"/>
            </w:pPr>
            <w:r>
              <w:t>Thrive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B101" w14:textId="77777777" w:rsidR="00927EA8" w:rsidRPr="00927EA8" w:rsidRDefault="00927EA8" w:rsidP="00927EA8">
            <w:r w:rsidRPr="00927EA8">
              <w:t>Thrive is a dynamic, developmental and trauma sensitive approach that promotes positive mental health and emotional wellbeing in children.</w:t>
            </w:r>
          </w:p>
          <w:p w14:paraId="26142365" w14:textId="77777777" w:rsidR="00927EA8" w:rsidRPr="00927EA8" w:rsidRDefault="00927EA8" w:rsidP="00927EA8">
            <w:r w:rsidRPr="00927EA8">
              <w:t>The Thrive approach is embedded across the entire school and our aim is to use relational practice to form positive relationships with our students.</w:t>
            </w:r>
          </w:p>
          <w:p w14:paraId="6D9E9DB9" w14:textId="77777777" w:rsidR="00927EA8" w:rsidRPr="00927EA8" w:rsidRDefault="00927EA8" w:rsidP="00927EA8">
            <w:r w:rsidRPr="00927EA8">
              <w:t>We are fortunate to have four Thrive Practitioners who are able to deliver 1:1 and small group sessions to our pupils throughout the centre.</w:t>
            </w:r>
          </w:p>
          <w:p w14:paraId="7915BFB5" w14:textId="77777777" w:rsidR="00927EA8" w:rsidRPr="00927EA8" w:rsidRDefault="00927EA8" w:rsidP="00927EA8">
            <w:r w:rsidRPr="00927EA8">
              <w:t>Our aim is for all staff to use PACE (Playfulness, Acceptance, Curiosity and Empathy) when interacting with students.</w:t>
            </w:r>
          </w:p>
          <w:p w14:paraId="52688C8C" w14:textId="77777777" w:rsidR="00927EA8" w:rsidRPr="00927EA8" w:rsidRDefault="00927EA8" w:rsidP="00927EA8">
            <w:r w:rsidRPr="00927EA8">
              <w:t>The Thrive approach offers practical strategies and is built around online assessments which identifies student’s emotional developmental gaps and provides action plans for their individual needs.</w:t>
            </w:r>
          </w:p>
          <w:p w14:paraId="0FE4B233" w14:textId="77777777" w:rsidR="00927EA8" w:rsidRPr="00927EA8" w:rsidRDefault="00927EA8" w:rsidP="00927EA8">
            <w:r w:rsidRPr="00927EA8">
              <w:t>This increases self-esteem, confidence and readiness to attend school, enabling students to access learning.</w:t>
            </w:r>
          </w:p>
          <w:p w14:paraId="670AEF0D" w14:textId="5AA73B74" w:rsidR="001C05E0" w:rsidRPr="001C05E0" w:rsidRDefault="001C05E0" w:rsidP="00EB0F68">
            <w:pPr>
              <w:spacing w:line="240" w:lineRule="auto"/>
            </w:pPr>
          </w:p>
        </w:tc>
      </w:tr>
      <w:tr w:rsidR="003401B5" w14:paraId="111A5FC3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4E3A" w14:textId="4237A08C" w:rsidR="003401B5" w:rsidRPr="00344A01" w:rsidRDefault="00920775" w:rsidP="003731DD">
            <w:pPr>
              <w:pStyle w:val="TableRow"/>
              <w:tabs>
                <w:tab w:val="left" w:pos="3525"/>
              </w:tabs>
              <w:ind w:left="0" w:right="0"/>
            </w:pPr>
            <w:r>
              <w:lastRenderedPageBreak/>
              <w:t>SHARPS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4128" w14:textId="77777777" w:rsidR="00583552" w:rsidRDefault="00583552" w:rsidP="003731DD">
            <w:pPr>
              <w:pStyle w:val="TableRow"/>
              <w:tabs>
                <w:tab w:val="left" w:pos="3525"/>
              </w:tabs>
              <w:ind w:left="0" w:right="0"/>
            </w:pPr>
            <w:r>
              <w:t>Develop safe and trusted adult relationships to support students to have a safe space to explore and openly discuss their self-harm or self-injury behaviour.</w:t>
            </w:r>
          </w:p>
          <w:p w14:paraId="180BAF6E" w14:textId="77777777" w:rsidR="00583552" w:rsidRDefault="00583552" w:rsidP="003731DD">
            <w:pPr>
              <w:pStyle w:val="TableRow"/>
              <w:tabs>
                <w:tab w:val="left" w:pos="3525"/>
              </w:tabs>
              <w:ind w:left="0" w:right="0"/>
            </w:pPr>
          </w:p>
          <w:p w14:paraId="6B0F95EB" w14:textId="2331104F" w:rsidR="00583552" w:rsidRDefault="00583552" w:rsidP="003731DD">
            <w:pPr>
              <w:pStyle w:val="TableRow"/>
              <w:tabs>
                <w:tab w:val="left" w:pos="3525"/>
              </w:tabs>
              <w:ind w:left="0" w:right="0"/>
            </w:pPr>
            <w:r>
              <w:t xml:space="preserve">Support to develop </w:t>
            </w:r>
            <w:r w:rsidR="00CA0A4A">
              <w:t>self-</w:t>
            </w:r>
            <w:r>
              <w:t>awareness of how the student is feeling and collaboratively identify and agree strategies to safely and positively manage emotions.</w:t>
            </w:r>
          </w:p>
          <w:p w14:paraId="59E94C61" w14:textId="77777777" w:rsidR="00583552" w:rsidRDefault="00583552" w:rsidP="003731DD">
            <w:pPr>
              <w:pStyle w:val="TableRow"/>
              <w:tabs>
                <w:tab w:val="left" w:pos="3525"/>
              </w:tabs>
              <w:ind w:left="0" w:right="0"/>
            </w:pPr>
          </w:p>
          <w:p w14:paraId="7993E98C" w14:textId="1EE11AF0" w:rsidR="00583552" w:rsidRPr="00344A01" w:rsidRDefault="00313243" w:rsidP="00313243">
            <w:pPr>
              <w:pStyle w:val="TableRow"/>
              <w:ind w:left="0" w:right="0"/>
            </w:pPr>
            <w:r>
              <w:t>Students agreed strategies are shared with staff via Five Point Scales to support the student to</w:t>
            </w:r>
            <w:r w:rsidR="00CA0A4A">
              <w:t xml:space="preserve"> stay safe, enabling them to</w:t>
            </w:r>
            <w:r>
              <w:t xml:space="preserve"> successfully access their lessons and make academic progress. </w:t>
            </w:r>
          </w:p>
        </w:tc>
      </w:tr>
      <w:tr w:rsidR="003401B5" w14:paraId="4CB1FCEB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2279" w14:textId="522722CC" w:rsidR="003401B5" w:rsidRPr="00344A01" w:rsidRDefault="00920775" w:rsidP="003731DD">
            <w:pPr>
              <w:pStyle w:val="TableRow"/>
              <w:ind w:left="0" w:right="0"/>
            </w:pPr>
            <w:r>
              <w:t xml:space="preserve">Brick by Brick 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9120" w14:textId="5B98AD89" w:rsidR="003401B5" w:rsidRDefault="007B3C67" w:rsidP="003731DD">
            <w:pPr>
              <w:pStyle w:val="TableRow"/>
              <w:ind w:left="0" w:right="0"/>
            </w:pPr>
            <w:r>
              <w:t>Support</w:t>
            </w:r>
            <w:r w:rsidR="002E527E">
              <w:t>s the</w:t>
            </w:r>
            <w:r>
              <w:t xml:space="preserve"> development of fine motor skills which </w:t>
            </w:r>
            <w:r w:rsidR="00D71E5D">
              <w:t>supports students to access</w:t>
            </w:r>
            <w:r>
              <w:t xml:space="preserve"> all areas of the curriculum, improving engagement </w:t>
            </w:r>
            <w:r w:rsidR="00C87661">
              <w:t xml:space="preserve">in learning </w:t>
            </w:r>
            <w:r>
              <w:t xml:space="preserve">and progress. </w:t>
            </w:r>
          </w:p>
          <w:p w14:paraId="1E632F95" w14:textId="77777777" w:rsidR="00D71E5D" w:rsidRDefault="00D71E5D" w:rsidP="003731DD">
            <w:pPr>
              <w:pStyle w:val="TableRow"/>
              <w:ind w:left="0" w:right="0"/>
            </w:pPr>
          </w:p>
          <w:p w14:paraId="1447F6DC" w14:textId="40C2E3DC" w:rsidR="00D71E5D" w:rsidRDefault="00D71E5D" w:rsidP="003731DD">
            <w:pPr>
              <w:pStyle w:val="TableRow"/>
              <w:ind w:left="0" w:right="0"/>
            </w:pPr>
            <w:r>
              <w:t>Develops key social communication skills needed to successfully access the school environment, communicate with staff and peers and build healthy relationships including;</w:t>
            </w:r>
          </w:p>
          <w:p w14:paraId="2A2ED1C0" w14:textId="302B40B8" w:rsidR="00D71E5D" w:rsidRPr="00D71E5D" w:rsidRDefault="00D71E5D" w:rsidP="00D71E5D">
            <w:pPr>
              <w:pStyle w:val="ListParagraph"/>
              <w:numPr>
                <w:ilvl w:val="0"/>
                <w:numId w:val="8"/>
              </w:numPr>
            </w:pPr>
            <w:r w:rsidRPr="00D71E5D">
              <w:t>Encouraging turn-taking, sharing and teamwork </w:t>
            </w:r>
          </w:p>
          <w:p w14:paraId="188D36CB" w14:textId="64216920" w:rsidR="00D71E5D" w:rsidRDefault="00D71E5D" w:rsidP="00D71E5D">
            <w:pPr>
              <w:pStyle w:val="ListParagraph"/>
              <w:numPr>
                <w:ilvl w:val="0"/>
                <w:numId w:val="8"/>
              </w:numPr>
            </w:pPr>
            <w:r w:rsidRPr="00D71E5D">
              <w:t>Promotes eye contact, active listening</w:t>
            </w:r>
            <w:r w:rsidR="00D24CCA">
              <w:t xml:space="preserve"> </w:t>
            </w:r>
            <w:r w:rsidRPr="00D71E5D">
              <w:t>and cooperative play </w:t>
            </w:r>
          </w:p>
          <w:p w14:paraId="7D9DD408" w14:textId="77777777" w:rsidR="00D71E5D" w:rsidRDefault="00D71E5D" w:rsidP="00D71E5D">
            <w:pPr>
              <w:pStyle w:val="ListParagraph"/>
              <w:numPr>
                <w:ilvl w:val="0"/>
                <w:numId w:val="8"/>
              </w:numPr>
            </w:pPr>
            <w:r>
              <w:t>V</w:t>
            </w:r>
            <w:r w:rsidRPr="00D71E5D">
              <w:t>erbal and nonverbal communication</w:t>
            </w:r>
          </w:p>
          <w:p w14:paraId="3BD88233" w14:textId="16A79816" w:rsidR="007B3C67" w:rsidRPr="00344A01" w:rsidRDefault="00D71E5D" w:rsidP="00D24CCA">
            <w:pPr>
              <w:pStyle w:val="ListParagraph"/>
              <w:numPr>
                <w:ilvl w:val="0"/>
                <w:numId w:val="8"/>
              </w:numPr>
            </w:pPr>
            <w:r>
              <w:t>C</w:t>
            </w:r>
            <w:r w:rsidRPr="00D71E5D">
              <w:t>onversational skills</w:t>
            </w:r>
          </w:p>
        </w:tc>
      </w:tr>
      <w:tr w:rsidR="007B3C67" w14:paraId="771A6E81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0D0E" w14:textId="13082361" w:rsidR="007B3C67" w:rsidRDefault="007B3C67" w:rsidP="003731DD">
            <w:pPr>
              <w:pStyle w:val="TableRow"/>
              <w:ind w:left="0" w:right="0"/>
            </w:pPr>
            <w:r>
              <w:t>5 Point Scale</w:t>
            </w:r>
            <w:r w:rsidR="00313243">
              <w:t>s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D0D8" w14:textId="513FD067" w:rsidR="00313243" w:rsidRDefault="00313243" w:rsidP="00313243">
            <w:pPr>
              <w:pStyle w:val="TableRow"/>
              <w:tabs>
                <w:tab w:val="left" w:pos="3525"/>
              </w:tabs>
              <w:ind w:left="0" w:right="0"/>
            </w:pPr>
            <w:r>
              <w:t xml:space="preserve">Develop safe and trusted adult relationships to support students to have a safe space to explore and openly discuss their emotions and responses to these. </w:t>
            </w:r>
          </w:p>
          <w:p w14:paraId="4208CD54" w14:textId="77777777" w:rsidR="00313243" w:rsidRDefault="00313243" w:rsidP="00313243">
            <w:pPr>
              <w:pStyle w:val="TableRow"/>
              <w:tabs>
                <w:tab w:val="left" w:pos="3525"/>
              </w:tabs>
              <w:ind w:left="0" w:right="0"/>
            </w:pPr>
          </w:p>
          <w:p w14:paraId="66B9E7B4" w14:textId="1DE4D723" w:rsidR="00313243" w:rsidRDefault="00313243" w:rsidP="00313243">
            <w:pPr>
              <w:pStyle w:val="TableRow"/>
              <w:tabs>
                <w:tab w:val="left" w:pos="3525"/>
              </w:tabs>
              <w:ind w:left="0" w:right="0"/>
            </w:pPr>
            <w:r>
              <w:t>Support to identify and acknowledge their emotions, develop their emotional intelligence and develop strategies of how to self-regulate safely and positively manage emotions.</w:t>
            </w:r>
          </w:p>
          <w:p w14:paraId="04FADC94" w14:textId="77777777" w:rsidR="00313243" w:rsidRDefault="00313243" w:rsidP="00313243">
            <w:pPr>
              <w:pStyle w:val="TableRow"/>
              <w:tabs>
                <w:tab w:val="left" w:pos="3525"/>
              </w:tabs>
              <w:ind w:left="0" w:right="0"/>
            </w:pPr>
          </w:p>
          <w:p w14:paraId="423E9D04" w14:textId="3CD33D68" w:rsidR="00313243" w:rsidRDefault="00313243" w:rsidP="00313243">
            <w:pPr>
              <w:pStyle w:val="TableRow"/>
              <w:ind w:left="0" w:right="0"/>
            </w:pPr>
            <w:r>
              <w:t xml:space="preserve">Students agreed strategies are shared with staff via Five Point Scales to support the student to successfully access their lessons and make academic progress. </w:t>
            </w:r>
          </w:p>
        </w:tc>
      </w:tr>
      <w:tr w:rsidR="003401B5" w14:paraId="2378C54F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3C56" w14:textId="070D792E" w:rsidR="003401B5" w:rsidRDefault="00920775" w:rsidP="003731DD">
            <w:pPr>
              <w:pStyle w:val="TableRow"/>
              <w:ind w:left="0" w:right="0"/>
            </w:pPr>
            <w:r>
              <w:t>Gymnastics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316D" w14:textId="1947B699" w:rsidR="00081760" w:rsidRPr="00F2753C" w:rsidRDefault="00081760" w:rsidP="00081760">
            <w:pPr>
              <w:pStyle w:val="TableRowCentered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Students will i</w:t>
            </w:r>
            <w:r w:rsidRPr="00F2753C">
              <w:rPr>
                <w:szCs w:val="24"/>
              </w:rPr>
              <w:t>mprove</w:t>
            </w:r>
            <w:r>
              <w:rPr>
                <w:szCs w:val="24"/>
              </w:rPr>
              <w:t xml:space="preserve"> their</w:t>
            </w:r>
            <w:r w:rsidRPr="00F2753C">
              <w:rPr>
                <w:szCs w:val="24"/>
              </w:rPr>
              <w:t xml:space="preserve"> gross and fine motor skills through increased core stability</w:t>
            </w:r>
            <w:r>
              <w:rPr>
                <w:szCs w:val="24"/>
              </w:rPr>
              <w:t xml:space="preserve"> alongside improving</w:t>
            </w:r>
            <w:r w:rsidRPr="00F2753C">
              <w:rPr>
                <w:szCs w:val="24"/>
              </w:rPr>
              <w:t xml:space="preserve"> bilateral integration skills</w:t>
            </w:r>
            <w:r w:rsidR="00D24CCA">
              <w:rPr>
                <w:szCs w:val="24"/>
              </w:rPr>
              <w:t xml:space="preserve"> which supports</w:t>
            </w:r>
            <w:r w:rsidRPr="00F2753C">
              <w:rPr>
                <w:szCs w:val="24"/>
              </w:rPr>
              <w:t xml:space="preserve"> improving handwriting and general life skills e.g. Using scissors, using cutlery etc. </w:t>
            </w:r>
          </w:p>
          <w:p w14:paraId="24A3F9D1" w14:textId="77777777" w:rsidR="00081760" w:rsidRDefault="00081760" w:rsidP="00081760">
            <w:pPr>
              <w:pStyle w:val="TableRowCentered"/>
              <w:ind w:left="0" w:right="0"/>
              <w:jc w:val="left"/>
              <w:rPr>
                <w:szCs w:val="24"/>
              </w:rPr>
            </w:pPr>
          </w:p>
          <w:p w14:paraId="168A838A" w14:textId="77777777" w:rsidR="00081760" w:rsidRDefault="00081760" w:rsidP="00081760">
            <w:pPr>
              <w:pStyle w:val="TableRow"/>
              <w:ind w:left="0" w:right="0"/>
            </w:pPr>
            <w:r>
              <w:t>Development of social communication skills including;</w:t>
            </w:r>
          </w:p>
          <w:p w14:paraId="5AE50964" w14:textId="69FB5F9A" w:rsidR="00081760" w:rsidRDefault="00081760" w:rsidP="00081760">
            <w:pPr>
              <w:pStyle w:val="TableRow"/>
              <w:numPr>
                <w:ilvl w:val="0"/>
                <w:numId w:val="9"/>
              </w:numPr>
              <w:ind w:right="0"/>
            </w:pPr>
            <w:r>
              <w:t>Following instructions fr</w:t>
            </w:r>
            <w:r w:rsidR="00D24CCA">
              <w:t>om</w:t>
            </w:r>
            <w:r>
              <w:t xml:space="preserve"> another adult or peer</w:t>
            </w:r>
          </w:p>
          <w:p w14:paraId="1FA62D61" w14:textId="77777777" w:rsidR="00081760" w:rsidRDefault="00081760" w:rsidP="00081760">
            <w:pPr>
              <w:pStyle w:val="TableRow"/>
              <w:numPr>
                <w:ilvl w:val="0"/>
                <w:numId w:val="9"/>
              </w:numPr>
              <w:ind w:right="0"/>
            </w:pPr>
            <w:r>
              <w:t>Following multi-step instructions</w:t>
            </w:r>
          </w:p>
          <w:p w14:paraId="452792DE" w14:textId="6F34C37A" w:rsidR="00081760" w:rsidRDefault="00081760" w:rsidP="00081760">
            <w:pPr>
              <w:pStyle w:val="TableRow"/>
              <w:numPr>
                <w:ilvl w:val="0"/>
                <w:numId w:val="9"/>
              </w:numPr>
              <w:ind w:right="0"/>
            </w:pPr>
            <w:r>
              <w:lastRenderedPageBreak/>
              <w:t>Reciprocal conversations</w:t>
            </w:r>
          </w:p>
          <w:p w14:paraId="563C0C7D" w14:textId="77777777" w:rsidR="00D24CCA" w:rsidRDefault="00D24CCA" w:rsidP="00D24CCA">
            <w:pPr>
              <w:pStyle w:val="TableRow"/>
              <w:ind w:left="720" w:right="0"/>
            </w:pPr>
          </w:p>
          <w:p w14:paraId="6340A35A" w14:textId="3E8E2F2C" w:rsidR="003401B5" w:rsidRPr="00344A01" w:rsidRDefault="00D24CCA" w:rsidP="00081760">
            <w:pPr>
              <w:pStyle w:val="TableRow"/>
              <w:ind w:left="0" w:right="0"/>
            </w:pPr>
            <w:r>
              <w:t>Students have i</w:t>
            </w:r>
            <w:r w:rsidR="00081760">
              <w:t>ncreased</w:t>
            </w:r>
            <w:r w:rsidR="00081760" w:rsidRPr="00F2753C">
              <w:t xml:space="preserve"> self-esteem</w:t>
            </w:r>
            <w:r>
              <w:t xml:space="preserve"> and</w:t>
            </w:r>
            <w:r w:rsidR="00081760">
              <w:t xml:space="preserve"> </w:t>
            </w:r>
            <w:r w:rsidR="00081760" w:rsidRPr="00F2753C">
              <w:t>confidence</w:t>
            </w:r>
            <w:r>
              <w:t>,</w:t>
            </w:r>
            <w:r w:rsidR="00081760">
              <w:t xml:space="preserve"> supporting sense of belonging and engagement</w:t>
            </w:r>
            <w:r w:rsidR="0024417F">
              <w:t xml:space="preserve"> in learning</w:t>
            </w:r>
            <w:r w:rsidR="00081760" w:rsidRPr="00F2753C">
              <w:t>.</w:t>
            </w:r>
          </w:p>
        </w:tc>
      </w:tr>
      <w:tr w:rsidR="003401B5" w14:paraId="7E94AF0D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2F50" w14:textId="6B71D325" w:rsidR="003401B5" w:rsidRDefault="00920775" w:rsidP="003731DD">
            <w:pPr>
              <w:pStyle w:val="TableRow"/>
              <w:ind w:left="0" w:right="0"/>
            </w:pPr>
            <w:r>
              <w:lastRenderedPageBreak/>
              <w:t>Swimming lessons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3665" w14:textId="65106BFF" w:rsidR="00D24CCA" w:rsidRDefault="00C92E04" w:rsidP="00D24CCA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F2753C">
              <w:rPr>
                <w:szCs w:val="24"/>
              </w:rPr>
              <w:t>S</w:t>
            </w:r>
            <w:r>
              <w:rPr>
                <w:szCs w:val="24"/>
              </w:rPr>
              <w:t>tudents will access a key life skill and develop their understanding of risk and staying safe</w:t>
            </w:r>
            <w:r w:rsidR="0024417F">
              <w:rPr>
                <w:szCs w:val="24"/>
              </w:rPr>
              <w:t xml:space="preserve"> alongside i</w:t>
            </w:r>
            <w:r w:rsidR="0024417F" w:rsidRPr="00F2753C">
              <w:rPr>
                <w:szCs w:val="24"/>
              </w:rPr>
              <w:t>ncreas</w:t>
            </w:r>
            <w:r w:rsidR="0024417F">
              <w:rPr>
                <w:szCs w:val="24"/>
              </w:rPr>
              <w:t>ing</w:t>
            </w:r>
            <w:r w:rsidR="0024417F" w:rsidRPr="00F2753C">
              <w:rPr>
                <w:szCs w:val="24"/>
              </w:rPr>
              <w:t xml:space="preserve"> self-esteem and confidence.</w:t>
            </w:r>
          </w:p>
          <w:p w14:paraId="0A8337AC" w14:textId="77777777" w:rsidR="00D24CCA" w:rsidRDefault="00D24CCA" w:rsidP="00D24CCA">
            <w:pPr>
              <w:pStyle w:val="TableRowCentered"/>
              <w:ind w:left="0" w:right="0"/>
              <w:jc w:val="left"/>
              <w:rPr>
                <w:szCs w:val="24"/>
              </w:rPr>
            </w:pPr>
          </w:p>
          <w:p w14:paraId="6B362E48" w14:textId="420C08BA" w:rsidR="00920775" w:rsidRPr="00E472DF" w:rsidRDefault="00D24CCA" w:rsidP="00E472DF">
            <w:pPr>
              <w:pStyle w:val="TableRowCentered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Students will i</w:t>
            </w:r>
            <w:r w:rsidRPr="00F2753C">
              <w:rPr>
                <w:szCs w:val="24"/>
              </w:rPr>
              <w:t>mprove</w:t>
            </w:r>
            <w:r>
              <w:rPr>
                <w:szCs w:val="24"/>
              </w:rPr>
              <w:t xml:space="preserve"> their</w:t>
            </w:r>
            <w:r w:rsidRPr="00F2753C">
              <w:rPr>
                <w:szCs w:val="24"/>
              </w:rPr>
              <w:t xml:space="preserve"> gross and fine motor skills through increased core stability</w:t>
            </w:r>
            <w:r>
              <w:rPr>
                <w:szCs w:val="24"/>
              </w:rPr>
              <w:t xml:space="preserve"> alongside improving</w:t>
            </w:r>
            <w:r w:rsidRPr="00F2753C">
              <w:rPr>
                <w:szCs w:val="24"/>
              </w:rPr>
              <w:t xml:space="preserve"> bilateral integration skills</w:t>
            </w:r>
            <w:r>
              <w:rPr>
                <w:szCs w:val="24"/>
              </w:rPr>
              <w:t xml:space="preserve"> which supports their engagement and accessing learning.</w:t>
            </w:r>
          </w:p>
        </w:tc>
      </w:tr>
      <w:tr w:rsidR="003401B5" w14:paraId="34E05E44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4334" w14:textId="13E0EF93" w:rsidR="003401B5" w:rsidRDefault="007B3C67" w:rsidP="003731DD">
            <w:pPr>
              <w:pStyle w:val="TableRow"/>
              <w:ind w:left="0" w:right="0"/>
            </w:pPr>
            <w:r>
              <w:t xml:space="preserve">Sports 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E488" w14:textId="028C39E6" w:rsidR="00D67A7C" w:rsidRPr="00F2753C" w:rsidRDefault="00D24CCA" w:rsidP="00D24CCA">
            <w:pPr>
              <w:pStyle w:val="TableRow"/>
              <w:ind w:left="0" w:right="0"/>
            </w:pPr>
            <w:r>
              <w:t xml:space="preserve">Students will </w:t>
            </w:r>
            <w:r w:rsidR="0024417F">
              <w:t>have</w:t>
            </w:r>
            <w:r w:rsidR="00D82565">
              <w:t xml:space="preserve"> targeted sessions that support</w:t>
            </w:r>
            <w:r>
              <w:t xml:space="preserve"> their emotional regulation, develop </w:t>
            </w:r>
            <w:r w:rsidR="00D67A7C">
              <w:t>their</w:t>
            </w:r>
            <w:r w:rsidR="00D67A7C" w:rsidRPr="00F2753C">
              <w:t xml:space="preserve"> gross and fine motor skills</w:t>
            </w:r>
            <w:r w:rsidR="00D82565">
              <w:t>,</w:t>
            </w:r>
            <w:r>
              <w:t xml:space="preserve"> support their </w:t>
            </w:r>
            <w:r w:rsidR="00D82565">
              <w:t xml:space="preserve">sense of belonging, increasing self-confidence and self-esteem and </w:t>
            </w:r>
            <w:r>
              <w:t xml:space="preserve">engagement </w:t>
            </w:r>
            <w:r w:rsidR="00D82565">
              <w:t>in learning</w:t>
            </w:r>
            <w:r w:rsidR="00D67A7C" w:rsidRPr="00F2753C">
              <w:t xml:space="preserve">. </w:t>
            </w:r>
          </w:p>
          <w:p w14:paraId="359A23AC" w14:textId="77777777" w:rsidR="00D67A7C" w:rsidRDefault="00D67A7C" w:rsidP="003731DD">
            <w:pPr>
              <w:pStyle w:val="TableRow"/>
              <w:ind w:left="0" w:right="0"/>
            </w:pPr>
          </w:p>
          <w:p w14:paraId="4F23C5BD" w14:textId="77277EED" w:rsidR="00D67A7C" w:rsidRDefault="00D82565" w:rsidP="003731DD">
            <w:pPr>
              <w:pStyle w:val="TableRow"/>
              <w:ind w:left="0" w:right="0"/>
            </w:pPr>
            <w:r>
              <w:t xml:space="preserve">Alongside </w:t>
            </w:r>
            <w:proofErr w:type="gramStart"/>
            <w:r w:rsidR="0024417F">
              <w:t>this students</w:t>
            </w:r>
            <w:proofErr w:type="gramEnd"/>
            <w:r>
              <w:t xml:space="preserve"> will develop</w:t>
            </w:r>
            <w:r w:rsidR="00D67A7C">
              <w:t xml:space="preserve"> social communication skills including;</w:t>
            </w:r>
          </w:p>
          <w:p w14:paraId="3D3E203C" w14:textId="396F7FC0" w:rsidR="00D67A7C" w:rsidRDefault="00D67A7C" w:rsidP="00D67A7C">
            <w:pPr>
              <w:pStyle w:val="TableRow"/>
              <w:numPr>
                <w:ilvl w:val="0"/>
                <w:numId w:val="9"/>
              </w:numPr>
              <w:ind w:right="0"/>
            </w:pPr>
            <w:r>
              <w:t>Following instructions for another adult or peer</w:t>
            </w:r>
          </w:p>
          <w:p w14:paraId="0584CA4F" w14:textId="5145A3AC" w:rsidR="00D67A7C" w:rsidRDefault="00D67A7C" w:rsidP="00D67A7C">
            <w:pPr>
              <w:pStyle w:val="TableRow"/>
              <w:numPr>
                <w:ilvl w:val="0"/>
                <w:numId w:val="9"/>
              </w:numPr>
              <w:ind w:right="0"/>
            </w:pPr>
            <w:r>
              <w:t>Following multi-step instructions</w:t>
            </w:r>
          </w:p>
          <w:p w14:paraId="74B6A7B5" w14:textId="77777777" w:rsidR="00D67A7C" w:rsidRDefault="00D67A7C" w:rsidP="00D67A7C">
            <w:pPr>
              <w:pStyle w:val="TableRow"/>
              <w:numPr>
                <w:ilvl w:val="0"/>
                <w:numId w:val="9"/>
              </w:numPr>
              <w:ind w:right="0"/>
            </w:pPr>
            <w:r>
              <w:t>Reciprocal conversations</w:t>
            </w:r>
          </w:p>
          <w:p w14:paraId="290C8A6C" w14:textId="60430507" w:rsidR="00D67A7C" w:rsidRDefault="00D67A7C" w:rsidP="00081760">
            <w:pPr>
              <w:pStyle w:val="TableRow"/>
              <w:ind w:left="0" w:right="0"/>
            </w:pPr>
          </w:p>
        </w:tc>
      </w:tr>
      <w:tr w:rsidR="007B3C67" w14:paraId="1BB0867D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CAD6" w14:textId="6ECFE9C5" w:rsidR="007B3C67" w:rsidRDefault="007B3C67" w:rsidP="003731DD">
            <w:pPr>
              <w:pStyle w:val="TableRow"/>
              <w:ind w:left="0" w:right="0"/>
            </w:pPr>
            <w:r>
              <w:t>Steps to Success mentoring programme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DB99" w14:textId="289C8AB3" w:rsidR="00D82565" w:rsidRDefault="00081760" w:rsidP="00161884">
            <w:pPr>
              <w:pStyle w:val="TableRow"/>
            </w:pPr>
            <w:r w:rsidRPr="00081760">
              <w:t xml:space="preserve">Steps 2 Success is </w:t>
            </w:r>
            <w:r w:rsidR="000F2F94">
              <w:t xml:space="preserve">a </w:t>
            </w:r>
            <w:r w:rsidR="00D82565">
              <w:t>6</w:t>
            </w:r>
            <w:r w:rsidR="000F2F94">
              <w:t>-</w:t>
            </w:r>
            <w:r w:rsidR="00D82565">
              <w:t xml:space="preserve">week </w:t>
            </w:r>
            <w:r>
              <w:t>programme</w:t>
            </w:r>
            <w:r w:rsidRPr="00081760">
              <w:t xml:space="preserve"> work</w:t>
            </w:r>
            <w:r w:rsidR="00D82565">
              <w:t>ing 1:1 with students to identify areas of personal development to support accessing learning.</w:t>
            </w:r>
          </w:p>
          <w:p w14:paraId="4D223464" w14:textId="77777777" w:rsidR="00D82565" w:rsidRDefault="00D82565" w:rsidP="00161884">
            <w:pPr>
              <w:pStyle w:val="TableRow"/>
            </w:pPr>
            <w:r>
              <w:t xml:space="preserve">Students </w:t>
            </w:r>
            <w:r w:rsidR="00081760" w:rsidRPr="00081760">
              <w:t xml:space="preserve">gain knowledge and perseverance </w:t>
            </w:r>
            <w:r w:rsidR="00161884">
              <w:t>to increase</w:t>
            </w:r>
            <w:r>
              <w:t>;</w:t>
            </w:r>
          </w:p>
          <w:p w14:paraId="04BC384D" w14:textId="77777777" w:rsidR="00D82565" w:rsidRDefault="00D82565" w:rsidP="00D82565">
            <w:pPr>
              <w:pStyle w:val="TableRow"/>
              <w:numPr>
                <w:ilvl w:val="0"/>
                <w:numId w:val="14"/>
              </w:numPr>
            </w:pPr>
            <w:r>
              <w:t>E</w:t>
            </w:r>
            <w:r w:rsidR="00161884">
              <w:t>ngagement in learning</w:t>
            </w:r>
            <w:r>
              <w:t xml:space="preserve"> </w:t>
            </w:r>
          </w:p>
          <w:p w14:paraId="7223DE7A" w14:textId="77777777" w:rsidR="00D82565" w:rsidRDefault="00D82565" w:rsidP="00D82565">
            <w:pPr>
              <w:pStyle w:val="TableRow"/>
              <w:numPr>
                <w:ilvl w:val="0"/>
                <w:numId w:val="14"/>
              </w:numPr>
            </w:pPr>
            <w:r>
              <w:t>I</w:t>
            </w:r>
            <w:r w:rsidR="00161884">
              <w:t>mproving behaviours</w:t>
            </w:r>
          </w:p>
          <w:p w14:paraId="36D11B03" w14:textId="77777777" w:rsidR="00D82565" w:rsidRDefault="00D82565" w:rsidP="00D82565">
            <w:pPr>
              <w:pStyle w:val="TableRow"/>
              <w:numPr>
                <w:ilvl w:val="0"/>
                <w:numId w:val="14"/>
              </w:numPr>
            </w:pPr>
            <w:r>
              <w:t>B</w:t>
            </w:r>
            <w:r w:rsidR="00161884">
              <w:t>uild relationships with a trusted adult</w:t>
            </w:r>
          </w:p>
          <w:p w14:paraId="59212877" w14:textId="77777777" w:rsidR="00D82565" w:rsidRDefault="00D82565" w:rsidP="00D82565">
            <w:pPr>
              <w:pStyle w:val="TableRow"/>
              <w:numPr>
                <w:ilvl w:val="0"/>
                <w:numId w:val="14"/>
              </w:numPr>
            </w:pPr>
            <w:r>
              <w:t>D</w:t>
            </w:r>
            <w:r w:rsidR="00161884">
              <w:t>evelop understanding of healthy relationships</w:t>
            </w:r>
          </w:p>
          <w:p w14:paraId="52B0C8D6" w14:textId="77777777" w:rsidR="00D82565" w:rsidRDefault="00D82565" w:rsidP="00D82565">
            <w:pPr>
              <w:pStyle w:val="TableRow"/>
              <w:ind w:left="485"/>
            </w:pPr>
          </w:p>
          <w:p w14:paraId="62135BAA" w14:textId="29C62F00" w:rsidR="007B3C67" w:rsidRDefault="00D82565" w:rsidP="00D82565">
            <w:pPr>
              <w:pStyle w:val="TableRow"/>
            </w:pPr>
            <w:r>
              <w:t>This supports students</w:t>
            </w:r>
            <w:r w:rsidR="00161884">
              <w:t xml:space="preserve"> to develop strategies and build resilience </w:t>
            </w:r>
            <w:r w:rsidR="00081760" w:rsidRPr="00081760">
              <w:t xml:space="preserve">so they can succeed in their </w:t>
            </w:r>
            <w:r w:rsidR="00ED2559">
              <w:t>learning.</w:t>
            </w:r>
          </w:p>
        </w:tc>
      </w:tr>
      <w:tr w:rsidR="007B3C67" w14:paraId="13BB623C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1248" w14:textId="29028C96" w:rsidR="007B3C67" w:rsidRDefault="007B3C67" w:rsidP="003731DD">
            <w:pPr>
              <w:pStyle w:val="TableRow"/>
              <w:ind w:left="0" w:right="0"/>
            </w:pPr>
            <w:r>
              <w:t>Music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0861" w14:textId="7BFB1CEE" w:rsidR="007B3C67" w:rsidRDefault="00161884" w:rsidP="003731DD">
            <w:pPr>
              <w:pStyle w:val="TableRow"/>
              <w:ind w:left="0" w:right="0"/>
            </w:pPr>
            <w:r>
              <w:t xml:space="preserve">Students </w:t>
            </w:r>
            <w:r w:rsidR="00F51FB7">
              <w:t>b</w:t>
            </w:r>
            <w:r w:rsidRPr="00F2753C">
              <w:t>enefit</w:t>
            </w:r>
            <w:r w:rsidR="00F51FB7">
              <w:t xml:space="preserve"> from </w:t>
            </w:r>
            <w:r w:rsidR="00ED2559">
              <w:t xml:space="preserve">Music </w:t>
            </w:r>
            <w:r w:rsidR="007C3A5C">
              <w:t xml:space="preserve">intervention by </w:t>
            </w:r>
            <w:r w:rsidR="00ED2559">
              <w:t xml:space="preserve">increasing their </w:t>
            </w:r>
            <w:r w:rsidRPr="00F2753C">
              <w:t xml:space="preserve">wellbeing, </w:t>
            </w:r>
            <w:r w:rsidR="007C3A5C">
              <w:t xml:space="preserve">enabling them to </w:t>
            </w:r>
            <w:r w:rsidRPr="00F2753C">
              <w:t>express themselves artistically, build self-confidence</w:t>
            </w:r>
            <w:r w:rsidR="00F51FB7">
              <w:t>, increas</w:t>
            </w:r>
            <w:r w:rsidR="007C3A5C">
              <w:t>e</w:t>
            </w:r>
            <w:r w:rsidR="00F51FB7" w:rsidRPr="00F2753C">
              <w:t xml:space="preserve"> self-esteem</w:t>
            </w:r>
            <w:r w:rsidR="00F51FB7">
              <w:t xml:space="preserve"> and supporting </w:t>
            </w:r>
            <w:r w:rsidR="007C3A5C">
              <w:t>a</w:t>
            </w:r>
            <w:r w:rsidR="00F51FB7">
              <w:t xml:space="preserve"> sense of belonging and engagement.</w:t>
            </w:r>
          </w:p>
        </w:tc>
      </w:tr>
      <w:tr w:rsidR="007B3C67" w14:paraId="2BE9E89D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21A5" w14:textId="67083F52" w:rsidR="007B3C67" w:rsidRDefault="007B3C67" w:rsidP="003731DD">
            <w:pPr>
              <w:pStyle w:val="TableRow"/>
              <w:ind w:left="0" w:right="0"/>
            </w:pPr>
            <w:r>
              <w:t>3D printing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9B0B" w14:textId="0A74BDE7" w:rsidR="009F2D74" w:rsidRDefault="0024417F" w:rsidP="003731DD">
            <w:pPr>
              <w:pStyle w:val="TableRow"/>
              <w:ind w:left="0" w:right="0"/>
            </w:pPr>
            <w:r>
              <w:t xml:space="preserve">3D printing </w:t>
            </w:r>
            <w:r w:rsidR="009F2D74">
              <w:t>provide</w:t>
            </w:r>
            <w:r>
              <w:t>s</w:t>
            </w:r>
            <w:r w:rsidR="009F2D74">
              <w:t xml:space="preserve"> students with </w:t>
            </w:r>
            <w:r w:rsidR="009F2D74" w:rsidRPr="00F2753C">
              <w:t>hands-on</w:t>
            </w:r>
            <w:r w:rsidR="007C3A5C">
              <w:t>,</w:t>
            </w:r>
            <w:r w:rsidR="009F2D74" w:rsidRPr="00F2753C">
              <w:t xml:space="preserve"> visual learning. The tactile nature of the intervention supports sensory needs and improves fine motor skills.</w:t>
            </w:r>
            <w:r w:rsidR="007C3A5C">
              <w:t xml:space="preserve"> This supports a</w:t>
            </w:r>
            <w:r w:rsidR="009F2D74">
              <w:t xml:space="preserve"> sense of belonging and builds confidence</w:t>
            </w:r>
            <w:r w:rsidR="007C3A5C">
              <w:t>,</w:t>
            </w:r>
            <w:r w:rsidR="009F2D74">
              <w:t xml:space="preserve"> supporting engagement in learning.</w:t>
            </w:r>
          </w:p>
        </w:tc>
      </w:tr>
      <w:tr w:rsidR="007B3C67" w14:paraId="0C9CF24B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6405" w14:textId="49142029" w:rsidR="007B3C67" w:rsidRDefault="007B3C67" w:rsidP="003731DD">
            <w:pPr>
              <w:pStyle w:val="TableRow"/>
              <w:ind w:left="0" w:right="0"/>
            </w:pPr>
            <w:r>
              <w:lastRenderedPageBreak/>
              <w:t>Learn To Move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065F" w14:textId="7DDD24CA" w:rsidR="009F2D74" w:rsidRDefault="009F2D74" w:rsidP="009F2D74">
            <w:pPr>
              <w:pStyle w:val="TableRow"/>
              <w:ind w:left="0" w:right="0"/>
            </w:pPr>
            <w:r>
              <w:t xml:space="preserve">Supports the development of fine motor skills </w:t>
            </w:r>
            <w:r w:rsidR="004F37D3">
              <w:t>enabling</w:t>
            </w:r>
            <w:r>
              <w:t xml:space="preserve"> students to access all areas of the curriculum, improving engagement in learning and progress.</w:t>
            </w:r>
          </w:p>
          <w:p w14:paraId="21E4B18F" w14:textId="77777777" w:rsidR="009F2D74" w:rsidRDefault="009F2D74" w:rsidP="009F2D74">
            <w:pPr>
              <w:pStyle w:val="TableRow"/>
              <w:ind w:left="0" w:right="0"/>
            </w:pPr>
          </w:p>
          <w:p w14:paraId="3C9DCBB7" w14:textId="30C88F03" w:rsidR="007B3C67" w:rsidRDefault="000047FF" w:rsidP="003731DD">
            <w:pPr>
              <w:pStyle w:val="TableRow"/>
              <w:ind w:left="0" w:right="0"/>
            </w:pPr>
            <w:r>
              <w:t xml:space="preserve">Learn to Move </w:t>
            </w:r>
            <w:r w:rsidR="0024417F">
              <w:t xml:space="preserve">also </w:t>
            </w:r>
            <w:r>
              <w:t>s</w:t>
            </w:r>
            <w:r w:rsidR="004F37D3">
              <w:t xml:space="preserve">upports the development </w:t>
            </w:r>
            <w:r w:rsidR="009F2D74">
              <w:t xml:space="preserve">of gross motor skills, core stability and bilateral integration </w:t>
            </w:r>
            <w:r w:rsidR="004F37D3">
              <w:t xml:space="preserve">which builds </w:t>
            </w:r>
            <w:r w:rsidR="009F2D74">
              <w:t xml:space="preserve">readiness to learn, </w:t>
            </w:r>
            <w:r w:rsidR="004F37D3">
              <w:t>self-</w:t>
            </w:r>
            <w:r w:rsidR="009F2D74">
              <w:t xml:space="preserve">regulation and </w:t>
            </w:r>
            <w:r>
              <w:t>engagement</w:t>
            </w:r>
            <w:r w:rsidR="009F2D74">
              <w:t xml:space="preserve"> in learning.  </w:t>
            </w:r>
          </w:p>
        </w:tc>
      </w:tr>
      <w:tr w:rsidR="00583552" w14:paraId="47A38242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01A6" w14:textId="3C51DA9A" w:rsidR="00583552" w:rsidRDefault="00583552" w:rsidP="003731DD">
            <w:pPr>
              <w:pStyle w:val="TableRow"/>
              <w:ind w:left="0" w:right="0"/>
            </w:pPr>
            <w:r>
              <w:t>GCSE preparation and wellbeing support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23CF" w14:textId="19233644" w:rsidR="00583552" w:rsidRDefault="00583552" w:rsidP="003731DD">
            <w:pPr>
              <w:pStyle w:val="TableRow"/>
              <w:ind w:left="0" w:right="0"/>
            </w:pPr>
            <w:r>
              <w:t>Identified Year 11 students are given support to identify anxieties to support access and engagement in exams.</w:t>
            </w:r>
            <w:r w:rsidR="000047FF">
              <w:t xml:space="preserve"> </w:t>
            </w:r>
            <w:r>
              <w:t>Strategies are then develop</w:t>
            </w:r>
            <w:r w:rsidR="007A315B">
              <w:t>ed</w:t>
            </w:r>
            <w:r>
              <w:t xml:space="preserve"> with the student to support them to prepare </w:t>
            </w:r>
            <w:r w:rsidR="00161884">
              <w:t xml:space="preserve">for </w:t>
            </w:r>
            <w:r>
              <w:t>and access their exams</w:t>
            </w:r>
            <w:r w:rsidR="0024417F">
              <w:t>,</w:t>
            </w:r>
            <w:r>
              <w:t xml:space="preserve"> improving academic outcomes.</w:t>
            </w:r>
          </w:p>
        </w:tc>
      </w:tr>
      <w:tr w:rsidR="00583552" w14:paraId="71D1FCCD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3577" w14:textId="25D0349F" w:rsidR="00583552" w:rsidRDefault="00583552" w:rsidP="003731DD">
            <w:pPr>
              <w:pStyle w:val="TableRow"/>
              <w:ind w:left="0" w:right="0"/>
            </w:pPr>
            <w:r>
              <w:t>Social skills/friendships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8C3A" w14:textId="14FDDA60" w:rsidR="00313243" w:rsidRDefault="00583552" w:rsidP="00313243">
            <w:pPr>
              <w:pStyle w:val="TableRow"/>
              <w:ind w:left="0" w:right="0"/>
            </w:pPr>
            <w:r>
              <w:t>Students will develop their under</w:t>
            </w:r>
            <w:r w:rsidR="00313243">
              <w:t>standing</w:t>
            </w:r>
            <w:r>
              <w:t xml:space="preserve"> of</w:t>
            </w:r>
            <w:r w:rsidR="00313243">
              <w:t xml:space="preserve"> </w:t>
            </w:r>
            <w:r>
              <w:t>healthy relationships</w:t>
            </w:r>
            <w:r w:rsidR="00313243">
              <w:t xml:space="preserve"> including;</w:t>
            </w:r>
          </w:p>
          <w:p w14:paraId="04F5F0AE" w14:textId="5C66A813" w:rsidR="00313243" w:rsidRDefault="0021464C" w:rsidP="00313243">
            <w:pPr>
              <w:pStyle w:val="TableRow"/>
              <w:numPr>
                <w:ilvl w:val="0"/>
                <w:numId w:val="6"/>
              </w:numPr>
              <w:ind w:right="0"/>
            </w:pPr>
            <w:r>
              <w:t>P</w:t>
            </w:r>
            <w:r w:rsidR="00583552">
              <w:t>eer relationships</w:t>
            </w:r>
          </w:p>
          <w:p w14:paraId="5F0D3FD4" w14:textId="75941E0B" w:rsidR="00313243" w:rsidRDefault="0021464C" w:rsidP="00313243">
            <w:pPr>
              <w:pStyle w:val="TableRow"/>
              <w:numPr>
                <w:ilvl w:val="0"/>
                <w:numId w:val="6"/>
              </w:numPr>
              <w:ind w:right="0"/>
            </w:pPr>
            <w:r>
              <w:t>C</w:t>
            </w:r>
            <w:r w:rsidR="00583552">
              <w:t>onflict re</w:t>
            </w:r>
            <w:r w:rsidR="00313243">
              <w:t>solution</w:t>
            </w:r>
          </w:p>
          <w:p w14:paraId="1F78B206" w14:textId="26C79185" w:rsidR="00313243" w:rsidRDefault="0021464C" w:rsidP="00313243">
            <w:pPr>
              <w:pStyle w:val="TableRow"/>
              <w:numPr>
                <w:ilvl w:val="0"/>
                <w:numId w:val="6"/>
              </w:numPr>
              <w:ind w:right="0"/>
            </w:pPr>
            <w:r>
              <w:t>R</w:t>
            </w:r>
            <w:r w:rsidR="00583552">
              <w:t>e-building relationships</w:t>
            </w:r>
          </w:p>
          <w:p w14:paraId="14E2FFB8" w14:textId="470B2383" w:rsidR="00313243" w:rsidRDefault="0021464C" w:rsidP="00313243">
            <w:pPr>
              <w:pStyle w:val="TableRow"/>
              <w:numPr>
                <w:ilvl w:val="0"/>
                <w:numId w:val="6"/>
              </w:numPr>
              <w:ind w:right="0"/>
            </w:pPr>
            <w:r>
              <w:t>M</w:t>
            </w:r>
            <w:r w:rsidR="00583552">
              <w:t xml:space="preserve">anaging </w:t>
            </w:r>
            <w:r w:rsidR="00313243">
              <w:t xml:space="preserve">emotions </w:t>
            </w:r>
          </w:p>
          <w:p w14:paraId="6C1C1291" w14:textId="77777777" w:rsidR="00313243" w:rsidRDefault="00313243" w:rsidP="00313243">
            <w:pPr>
              <w:pStyle w:val="TableRow"/>
              <w:ind w:left="0" w:right="0"/>
            </w:pPr>
          </w:p>
          <w:p w14:paraId="019FFDA3" w14:textId="082E2B43" w:rsidR="00583552" w:rsidRDefault="00313243" w:rsidP="00313243">
            <w:pPr>
              <w:pStyle w:val="TableRow"/>
              <w:ind w:left="0" w:right="0"/>
            </w:pPr>
            <w:r>
              <w:t>This enables students to successfully and confident</w:t>
            </w:r>
            <w:r w:rsidR="007A315B">
              <w:t>ly</w:t>
            </w:r>
            <w:r>
              <w:t xml:space="preserve"> access the school environment</w:t>
            </w:r>
            <w:r w:rsidR="00CA0A4A">
              <w:t>, communicate with staff and peers</w:t>
            </w:r>
            <w:r>
              <w:t xml:space="preserve"> and build wider key life skills. </w:t>
            </w:r>
          </w:p>
        </w:tc>
      </w:tr>
      <w:tr w:rsidR="0021464C" w14:paraId="47F16018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ADAB" w14:textId="5BA3DD23" w:rsidR="0021464C" w:rsidRDefault="0021464C" w:rsidP="003731DD">
            <w:pPr>
              <w:pStyle w:val="TableRow"/>
              <w:ind w:left="0" w:right="0"/>
            </w:pPr>
            <w:r>
              <w:t>Independent living skills - Cooking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0545" w14:textId="56D50E34" w:rsidR="0021464C" w:rsidRDefault="0021464C" w:rsidP="00313243">
            <w:pPr>
              <w:pStyle w:val="TableRow"/>
              <w:ind w:left="0" w:right="0"/>
            </w:pPr>
            <w:r>
              <w:t>Students develop a variety of skills to support them to live independently with a focus on cooking which supports</w:t>
            </w:r>
            <w:r w:rsidR="004D7F82">
              <w:t xml:space="preserve"> the development of</w:t>
            </w:r>
            <w:r>
              <w:t>;</w:t>
            </w:r>
          </w:p>
          <w:p w14:paraId="3F47B704" w14:textId="77777777" w:rsidR="0021464C" w:rsidRDefault="004D7F82" w:rsidP="0021464C">
            <w:pPr>
              <w:pStyle w:val="TableRow"/>
              <w:numPr>
                <w:ilvl w:val="0"/>
                <w:numId w:val="13"/>
              </w:numPr>
              <w:ind w:right="0"/>
            </w:pPr>
            <w:r>
              <w:t>Planning</w:t>
            </w:r>
          </w:p>
          <w:p w14:paraId="40D96E39" w14:textId="77777777" w:rsidR="004D7F82" w:rsidRDefault="004D7F82" w:rsidP="004D7F82">
            <w:pPr>
              <w:pStyle w:val="TableRow"/>
              <w:numPr>
                <w:ilvl w:val="0"/>
                <w:numId w:val="13"/>
              </w:numPr>
              <w:ind w:right="0"/>
            </w:pPr>
            <w:r>
              <w:t>Budgeting</w:t>
            </w:r>
          </w:p>
          <w:p w14:paraId="3221A07D" w14:textId="56FC8611" w:rsidR="004D7F82" w:rsidRDefault="004D7F82" w:rsidP="004D7F82">
            <w:pPr>
              <w:pStyle w:val="TableRow"/>
              <w:numPr>
                <w:ilvl w:val="0"/>
                <w:numId w:val="13"/>
              </w:numPr>
              <w:ind w:right="0"/>
            </w:pPr>
            <w:r>
              <w:t>Practical maths skills</w:t>
            </w:r>
          </w:p>
          <w:p w14:paraId="01A23C56" w14:textId="4FAD52C6" w:rsidR="004D7F82" w:rsidRDefault="008037CD" w:rsidP="004D7F82">
            <w:pPr>
              <w:pStyle w:val="TableRow"/>
              <w:numPr>
                <w:ilvl w:val="0"/>
                <w:numId w:val="13"/>
              </w:numPr>
              <w:ind w:right="0"/>
            </w:pPr>
            <w:r>
              <w:t>Cooking skills</w:t>
            </w:r>
          </w:p>
        </w:tc>
      </w:tr>
      <w:tr w:rsidR="008037CD" w14:paraId="01F45C63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7EFB" w14:textId="62CAB131" w:rsidR="008037CD" w:rsidRDefault="008037CD" w:rsidP="003731DD">
            <w:pPr>
              <w:pStyle w:val="TableRow"/>
              <w:ind w:left="0" w:right="0"/>
            </w:pPr>
            <w:r>
              <w:t xml:space="preserve">Work experience 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64BC" w14:textId="3045FD5C" w:rsidR="008037CD" w:rsidRDefault="008037CD" w:rsidP="00313243">
            <w:pPr>
              <w:pStyle w:val="TableRow"/>
              <w:ind w:left="0" w:right="0"/>
            </w:pPr>
            <w:r>
              <w:t>Students gain practical knowledge of industries and career pathways</w:t>
            </w:r>
            <w:r w:rsidR="00285653">
              <w:t xml:space="preserve"> to support identifying Post 16 options and</w:t>
            </w:r>
            <w:r w:rsidR="000709AC">
              <w:t xml:space="preserve"> receive support to</w:t>
            </w:r>
            <w:r w:rsidR="00285653">
              <w:t xml:space="preserve"> plan for these</w:t>
            </w:r>
            <w:r>
              <w:t>.</w:t>
            </w:r>
            <w:r w:rsidR="00285653">
              <w:t xml:space="preserve"> Support is given to applying for Post 16 and i</w:t>
            </w:r>
            <w:r>
              <w:t>ndividualised support is given to students</w:t>
            </w:r>
            <w:r w:rsidR="00102171">
              <w:t xml:space="preserve"> to build confidence, </w:t>
            </w:r>
            <w:r w:rsidR="00285653">
              <w:t>enhance CV writing</w:t>
            </w:r>
            <w:r w:rsidR="00C709BA">
              <w:t xml:space="preserve"> and </w:t>
            </w:r>
            <w:r w:rsidR="00285653">
              <w:t xml:space="preserve">employability skills. </w:t>
            </w:r>
          </w:p>
        </w:tc>
      </w:tr>
      <w:tr w:rsidR="00CB4356" w14:paraId="4FF76A1A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FB35" w14:textId="2BD9A85F" w:rsidR="00CB4356" w:rsidRDefault="00CB4356" w:rsidP="003731DD">
            <w:pPr>
              <w:pStyle w:val="TableRow"/>
              <w:ind w:left="0" w:right="0"/>
            </w:pPr>
            <w:r>
              <w:t>Darts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1F0E" w14:textId="5EFBF995" w:rsidR="00CB4356" w:rsidRDefault="00CB4356" w:rsidP="00CB4356">
            <w:pPr>
              <w:pStyle w:val="TableRow"/>
              <w:ind w:left="0"/>
            </w:pPr>
            <w:r>
              <w:t>Students are supported to gain practical maths and reading skills alongside developing social communication skills and build social connection with peers and trusted adults.</w:t>
            </w:r>
          </w:p>
          <w:p w14:paraId="03A2C4B1" w14:textId="16605B92" w:rsidR="00CB4356" w:rsidRDefault="00CB4356" w:rsidP="00CB4356">
            <w:pPr>
              <w:pStyle w:val="TableRow"/>
              <w:ind w:left="0"/>
            </w:pPr>
          </w:p>
          <w:p w14:paraId="09A5BC65" w14:textId="70D36349" w:rsidR="00CB4356" w:rsidRDefault="00CB4356" w:rsidP="00CB4356">
            <w:pPr>
              <w:pStyle w:val="TableRow"/>
              <w:ind w:left="0"/>
            </w:pPr>
            <w:r>
              <w:t>Students are supported to develop:</w:t>
            </w:r>
          </w:p>
          <w:p w14:paraId="19F385EE" w14:textId="1781943B" w:rsidR="00CB4356" w:rsidRDefault="00CB4356" w:rsidP="00CB4356">
            <w:pPr>
              <w:pStyle w:val="TableRow"/>
              <w:numPr>
                <w:ilvl w:val="0"/>
                <w:numId w:val="15"/>
              </w:numPr>
            </w:pPr>
            <w:proofErr w:type="gramStart"/>
            <w:r>
              <w:t>Maths</w:t>
            </w:r>
            <w:proofErr w:type="gramEnd"/>
            <w:r>
              <w:t xml:space="preserve"> skills</w:t>
            </w:r>
          </w:p>
          <w:p w14:paraId="612061A4" w14:textId="7C09778C" w:rsidR="00CB4356" w:rsidRDefault="00CB4356" w:rsidP="00CB4356">
            <w:pPr>
              <w:pStyle w:val="TableRow"/>
              <w:numPr>
                <w:ilvl w:val="0"/>
                <w:numId w:val="15"/>
              </w:numPr>
            </w:pPr>
            <w:r>
              <w:t>Reading skills</w:t>
            </w:r>
          </w:p>
          <w:p w14:paraId="123C2F52" w14:textId="5A520908" w:rsidR="00CB4356" w:rsidRDefault="00CB4356" w:rsidP="00CB4356">
            <w:pPr>
              <w:pStyle w:val="TableRow"/>
              <w:numPr>
                <w:ilvl w:val="0"/>
                <w:numId w:val="15"/>
              </w:numPr>
            </w:pPr>
            <w:r>
              <w:t>Social communication – turn taking, winning/losing, sharing, conversational skills</w:t>
            </w:r>
          </w:p>
          <w:p w14:paraId="4F6FB98A" w14:textId="70D59338" w:rsidR="00CB4356" w:rsidRDefault="00CB4356" w:rsidP="00CB4356">
            <w:pPr>
              <w:pStyle w:val="TableRow"/>
              <w:numPr>
                <w:ilvl w:val="0"/>
                <w:numId w:val="15"/>
              </w:numPr>
            </w:pPr>
            <w:r>
              <w:t xml:space="preserve">Following multi-step instructions </w:t>
            </w:r>
          </w:p>
          <w:p w14:paraId="7697EC11" w14:textId="1F02A692" w:rsidR="00CB4356" w:rsidRDefault="00CB4356" w:rsidP="00CB4356">
            <w:pPr>
              <w:pStyle w:val="TableRow"/>
              <w:numPr>
                <w:ilvl w:val="0"/>
                <w:numId w:val="15"/>
              </w:numPr>
            </w:pPr>
            <w:r>
              <w:lastRenderedPageBreak/>
              <w:t xml:space="preserve">Resilience and perseverance </w:t>
            </w:r>
          </w:p>
          <w:p w14:paraId="37B904BC" w14:textId="77777777" w:rsidR="00CB4356" w:rsidRDefault="00CB4356" w:rsidP="00CB4356">
            <w:pPr>
              <w:pStyle w:val="TableRow"/>
              <w:ind w:left="0"/>
            </w:pPr>
          </w:p>
        </w:tc>
      </w:tr>
      <w:tr w:rsidR="00AA72BF" w14:paraId="4524C671" w14:textId="77777777" w:rsidTr="000709AC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2F9B" w14:textId="69DCAE12" w:rsidR="00AA72BF" w:rsidRDefault="00AA72BF" w:rsidP="00AA72BF">
            <w:pPr>
              <w:pStyle w:val="TableRow"/>
              <w:ind w:left="0" w:right="0"/>
            </w:pPr>
            <w:r>
              <w:lastRenderedPageBreak/>
              <w:t>Pool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683B" w14:textId="1122321D" w:rsidR="00AA72BF" w:rsidRDefault="00AA72BF" w:rsidP="00AA72BF">
            <w:pPr>
              <w:pStyle w:val="TableRow"/>
              <w:ind w:left="0"/>
            </w:pPr>
            <w:r>
              <w:t>Students are supported to develop</w:t>
            </w:r>
            <w:r w:rsidR="00B70A63">
              <w:t xml:space="preserve"> </w:t>
            </w:r>
            <w:r>
              <w:t>social communication skills and build social connection with peers and trusted adults.</w:t>
            </w:r>
          </w:p>
          <w:p w14:paraId="0EB97202" w14:textId="77777777" w:rsidR="00AA72BF" w:rsidRDefault="00AA72BF" w:rsidP="00AA72BF">
            <w:pPr>
              <w:pStyle w:val="TableRow"/>
              <w:ind w:left="0"/>
            </w:pPr>
          </w:p>
          <w:p w14:paraId="7B5770A5" w14:textId="77777777" w:rsidR="00AA72BF" w:rsidRDefault="00AA72BF" w:rsidP="00AA72BF">
            <w:pPr>
              <w:pStyle w:val="TableRow"/>
              <w:ind w:left="0"/>
            </w:pPr>
            <w:r>
              <w:t>Students are supported to develop:</w:t>
            </w:r>
          </w:p>
          <w:p w14:paraId="1E59E00E" w14:textId="77777777" w:rsidR="00AA72BF" w:rsidRDefault="00AA72BF" w:rsidP="00AA72BF">
            <w:pPr>
              <w:pStyle w:val="TableRow"/>
              <w:numPr>
                <w:ilvl w:val="0"/>
                <w:numId w:val="15"/>
              </w:numPr>
            </w:pPr>
            <w:r>
              <w:t>Social communication – turn taking, winning/losing, sharing, conversational skills</w:t>
            </w:r>
          </w:p>
          <w:p w14:paraId="78F548E2" w14:textId="77777777" w:rsidR="00AA72BF" w:rsidRDefault="00AA72BF" w:rsidP="00AA72BF">
            <w:pPr>
              <w:pStyle w:val="TableRow"/>
              <w:numPr>
                <w:ilvl w:val="0"/>
                <w:numId w:val="15"/>
              </w:numPr>
            </w:pPr>
            <w:r>
              <w:t xml:space="preserve">Following multi-step instructions </w:t>
            </w:r>
          </w:p>
          <w:p w14:paraId="74FA0819" w14:textId="77777777" w:rsidR="00AA72BF" w:rsidRDefault="00AA72BF" w:rsidP="00AA72BF">
            <w:pPr>
              <w:pStyle w:val="TableRow"/>
              <w:numPr>
                <w:ilvl w:val="0"/>
                <w:numId w:val="15"/>
              </w:numPr>
            </w:pPr>
            <w:r>
              <w:t xml:space="preserve">Resilience and perseverance </w:t>
            </w:r>
          </w:p>
          <w:p w14:paraId="244D50E2" w14:textId="77777777" w:rsidR="00AA72BF" w:rsidRDefault="00AA72BF" w:rsidP="00AA72BF">
            <w:pPr>
              <w:pStyle w:val="TableRow"/>
              <w:ind w:left="0"/>
            </w:pPr>
          </w:p>
        </w:tc>
      </w:tr>
    </w:tbl>
    <w:p w14:paraId="7AFB919B" w14:textId="77777777" w:rsidR="00D95800" w:rsidRDefault="00D95800"/>
    <w:sectPr w:rsidR="00D95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4CA"/>
    <w:multiLevelType w:val="hybridMultilevel"/>
    <w:tmpl w:val="53B25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206D"/>
    <w:multiLevelType w:val="hybridMultilevel"/>
    <w:tmpl w:val="75DCE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F1A4E"/>
    <w:multiLevelType w:val="hybridMultilevel"/>
    <w:tmpl w:val="20D27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55C79"/>
    <w:multiLevelType w:val="hybridMultilevel"/>
    <w:tmpl w:val="59D0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371AF"/>
    <w:multiLevelType w:val="hybridMultilevel"/>
    <w:tmpl w:val="FFC2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51BFB"/>
    <w:multiLevelType w:val="hybridMultilevel"/>
    <w:tmpl w:val="2E86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320D"/>
    <w:multiLevelType w:val="hybridMultilevel"/>
    <w:tmpl w:val="93326EE4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35A670CB"/>
    <w:multiLevelType w:val="hybridMultilevel"/>
    <w:tmpl w:val="BB60F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915C0"/>
    <w:multiLevelType w:val="hybridMultilevel"/>
    <w:tmpl w:val="142C1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27988"/>
    <w:multiLevelType w:val="multilevel"/>
    <w:tmpl w:val="4D6C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1431B"/>
    <w:multiLevelType w:val="multilevel"/>
    <w:tmpl w:val="5CDA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04397"/>
    <w:multiLevelType w:val="hybridMultilevel"/>
    <w:tmpl w:val="7EE80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53E79"/>
    <w:multiLevelType w:val="hybridMultilevel"/>
    <w:tmpl w:val="B7E2F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E67DC"/>
    <w:multiLevelType w:val="hybridMultilevel"/>
    <w:tmpl w:val="843E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30322"/>
    <w:multiLevelType w:val="hybridMultilevel"/>
    <w:tmpl w:val="6E8C8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B5"/>
    <w:rsid w:val="000047FF"/>
    <w:rsid w:val="000709AC"/>
    <w:rsid w:val="00081760"/>
    <w:rsid w:val="000F2F94"/>
    <w:rsid w:val="00102171"/>
    <w:rsid w:val="00161884"/>
    <w:rsid w:val="001C05E0"/>
    <w:rsid w:val="0021464C"/>
    <w:rsid w:val="0024417F"/>
    <w:rsid w:val="00285653"/>
    <w:rsid w:val="002E527E"/>
    <w:rsid w:val="00313243"/>
    <w:rsid w:val="003401B5"/>
    <w:rsid w:val="004D7F82"/>
    <w:rsid w:val="004F37D3"/>
    <w:rsid w:val="00583552"/>
    <w:rsid w:val="007A315B"/>
    <w:rsid w:val="007B3C67"/>
    <w:rsid w:val="007C3A5C"/>
    <w:rsid w:val="008037CD"/>
    <w:rsid w:val="008C4598"/>
    <w:rsid w:val="00920775"/>
    <w:rsid w:val="00927EA8"/>
    <w:rsid w:val="009F2D74"/>
    <w:rsid w:val="00AA72BF"/>
    <w:rsid w:val="00AB686B"/>
    <w:rsid w:val="00B70A63"/>
    <w:rsid w:val="00C66BDF"/>
    <w:rsid w:val="00C709BA"/>
    <w:rsid w:val="00C87661"/>
    <w:rsid w:val="00C92E04"/>
    <w:rsid w:val="00CA0A4A"/>
    <w:rsid w:val="00CB4356"/>
    <w:rsid w:val="00CF680B"/>
    <w:rsid w:val="00D05006"/>
    <w:rsid w:val="00D24CCA"/>
    <w:rsid w:val="00D67A7C"/>
    <w:rsid w:val="00D71E5D"/>
    <w:rsid w:val="00D82565"/>
    <w:rsid w:val="00D95800"/>
    <w:rsid w:val="00E472DF"/>
    <w:rsid w:val="00E6351C"/>
    <w:rsid w:val="00EB0F68"/>
    <w:rsid w:val="00ED2559"/>
    <w:rsid w:val="00F51FB7"/>
    <w:rsid w:val="00F56675"/>
    <w:rsid w:val="00FB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B6279"/>
  <w15:chartTrackingRefBased/>
  <w15:docId w15:val="{63D87298-466A-42D7-A2E2-6D29901E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B5"/>
    <w:pPr>
      <w:suppressAutoHyphens/>
      <w:autoSpaceDN w:val="0"/>
      <w:spacing w:after="240" w:line="288" w:lineRule="auto"/>
    </w:pPr>
    <w:rPr>
      <w:rFonts w:ascii="Arial" w:eastAsia="Times New Roman" w:hAnsi="Arial" w:cs="Times New Roman"/>
      <w:color w:val="0D0D0D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">
    <w:name w:val="TableHeader"/>
    <w:rsid w:val="003401B5"/>
    <w:pPr>
      <w:suppressAutoHyphens/>
      <w:autoSpaceDN w:val="0"/>
      <w:spacing w:before="60" w:after="60" w:line="240" w:lineRule="auto"/>
      <w:ind w:left="57" w:right="57"/>
      <w:jc w:val="center"/>
    </w:pPr>
    <w:rPr>
      <w:rFonts w:ascii="Arial" w:eastAsia="Times New Roman" w:hAnsi="Arial" w:cs="Times New Roman"/>
      <w:b/>
      <w:color w:val="0D0D0D"/>
      <w:sz w:val="24"/>
      <w:szCs w:val="24"/>
      <w:lang w:eastAsia="en-GB"/>
    </w:rPr>
  </w:style>
  <w:style w:type="paragraph" w:customStyle="1" w:styleId="TableRow">
    <w:name w:val="TableRow"/>
    <w:rsid w:val="003401B5"/>
    <w:pPr>
      <w:suppressAutoHyphens/>
      <w:autoSpaceDN w:val="0"/>
      <w:spacing w:before="60" w:after="60" w:line="240" w:lineRule="auto"/>
      <w:ind w:left="57" w:right="57"/>
    </w:pPr>
    <w:rPr>
      <w:rFonts w:ascii="Arial" w:eastAsia="Times New Roman" w:hAnsi="Arial" w:cs="Times New Roman"/>
      <w:color w:val="0D0D0D"/>
      <w:sz w:val="24"/>
      <w:szCs w:val="24"/>
      <w:lang w:eastAsia="en-GB"/>
    </w:rPr>
  </w:style>
  <w:style w:type="paragraph" w:customStyle="1" w:styleId="TableRowCentered">
    <w:name w:val="TableRowCentered"/>
    <w:basedOn w:val="TableRow"/>
    <w:rsid w:val="003401B5"/>
    <w:pPr>
      <w:jc w:val="center"/>
    </w:pPr>
    <w:rPr>
      <w:szCs w:val="20"/>
    </w:rPr>
  </w:style>
  <w:style w:type="paragraph" w:styleId="ListParagraph">
    <w:name w:val="List Paragraph"/>
    <w:basedOn w:val="Normal"/>
    <w:uiPriority w:val="34"/>
    <w:qFormat/>
    <w:rsid w:val="00D71E5D"/>
    <w:pPr>
      <w:ind w:left="720"/>
      <w:contextualSpacing/>
    </w:pPr>
  </w:style>
  <w:style w:type="character" w:customStyle="1" w:styleId="Heading2Char">
    <w:name w:val="Heading 2 Char"/>
    <w:rsid w:val="00C92E04"/>
    <w:rPr>
      <w:b/>
      <w:color w:val="104F75"/>
      <w:sz w:val="32"/>
      <w:szCs w:val="32"/>
    </w:rPr>
  </w:style>
  <w:style w:type="character" w:customStyle="1" w:styleId="mark4jmd37wpr">
    <w:name w:val="mark4jmd37wpr"/>
    <w:basedOn w:val="DefaultParagraphFont"/>
    <w:rsid w:val="001C05E0"/>
  </w:style>
  <w:style w:type="paragraph" w:styleId="NormalWeb">
    <w:name w:val="Normal (Web)"/>
    <w:basedOn w:val="Normal"/>
    <w:uiPriority w:val="99"/>
    <w:semiHidden/>
    <w:unhideWhenUsed/>
    <w:rsid w:val="00927EA8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5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Cash</dc:creator>
  <cp:keywords/>
  <dc:description/>
  <cp:lastModifiedBy>Charlotte Cash</cp:lastModifiedBy>
  <cp:revision>23</cp:revision>
  <cp:lastPrinted>2026-03-03T15:08:00Z</cp:lastPrinted>
  <dcterms:created xsi:type="dcterms:W3CDTF">2026-01-15T10:18:00Z</dcterms:created>
  <dcterms:modified xsi:type="dcterms:W3CDTF">2026-03-05T13:58:00Z</dcterms:modified>
</cp:coreProperties>
</file>